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Pr="001C4BE1" w:rsidRDefault="001C4BE1">
      <w:pPr>
        <w:rPr>
          <w:rFonts w:ascii="Californian FB" w:hAnsi="Californian FB"/>
          <w:sz w:val="40"/>
          <w:szCs w:val="40"/>
        </w:rPr>
      </w:pPr>
      <w:r w:rsidRPr="001C4BE1">
        <w:rPr>
          <w:rFonts w:ascii="Californian FB" w:hAnsi="Californian FB"/>
          <w:sz w:val="40"/>
          <w:szCs w:val="40"/>
        </w:rPr>
        <w:t xml:space="preserve">Spring Valley Lake </w:t>
      </w:r>
    </w:p>
    <w:p w:rsidR="001C4BE1" w:rsidRDefault="001C4BE1">
      <w:pPr>
        <w:rPr>
          <w:rFonts w:ascii="Californian FB" w:hAnsi="Californian FB"/>
          <w:sz w:val="40"/>
          <w:szCs w:val="40"/>
        </w:rPr>
      </w:pPr>
      <w:r w:rsidRPr="001C4BE1">
        <w:rPr>
          <w:rFonts w:ascii="Californian FB" w:hAnsi="Californian FB"/>
          <w:sz w:val="40"/>
          <w:szCs w:val="40"/>
        </w:rPr>
        <w:t>2018 1</w:t>
      </w:r>
      <w:r w:rsidRPr="001C4BE1">
        <w:rPr>
          <w:rFonts w:ascii="Californian FB" w:hAnsi="Californian FB"/>
          <w:sz w:val="40"/>
          <w:szCs w:val="40"/>
          <w:vertAlign w:val="superscript"/>
        </w:rPr>
        <w:t>st</w:t>
      </w:r>
      <w:r w:rsidRPr="001C4BE1">
        <w:rPr>
          <w:rFonts w:ascii="Californian FB" w:hAnsi="Californian FB"/>
          <w:sz w:val="40"/>
          <w:szCs w:val="40"/>
        </w:rPr>
        <w:t xml:space="preserve"> Quarter Sales </w:t>
      </w:r>
    </w:p>
    <w:p w:rsidR="001C4BE1" w:rsidRPr="001C4BE1" w:rsidRDefault="001C4BE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037C346" wp14:editId="6BC52F8C">
            <wp:extent cx="9210675" cy="62579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C4BE1" w:rsidRPr="001C4BE1" w:rsidSect="001C4B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E1"/>
    <w:rsid w:val="001C4BE1"/>
    <w:rsid w:val="002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1D36-A5C7-403E-980B-923B5663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48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3">
                  <c:v>3</c:v>
                </c:pt>
                <c:pt idx="4">
                  <c:v>7</c:v>
                </c:pt>
                <c:pt idx="5">
                  <c:v>11</c:v>
                </c:pt>
                <c:pt idx="6">
                  <c:v>7</c:v>
                </c:pt>
                <c:pt idx="7">
                  <c:v>6</c:v>
                </c:pt>
                <c:pt idx="8">
                  <c:v>1</c:v>
                </c:pt>
                <c:pt idx="9">
                  <c:v>3</c:v>
                </c:pt>
                <c:pt idx="10">
                  <c:v>5</c:v>
                </c:pt>
                <c:pt idx="11">
                  <c:v>2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0537984"/>
        <c:axId val="430537200"/>
        <c:axId val="0"/>
      </c:bar3DChart>
      <c:catAx>
        <c:axId val="430537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537200"/>
        <c:crosses val="autoZero"/>
        <c:auto val="1"/>
        <c:lblAlgn val="ctr"/>
        <c:lblOffset val="100"/>
        <c:noMultiLvlLbl val="0"/>
      </c:catAx>
      <c:valAx>
        <c:axId val="430537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053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0.15822</cdr:x>
      <cdr:y>0.1309</cdr:y>
    </cdr:from>
    <cdr:to>
      <cdr:x>0.54085</cdr:x>
      <cdr:y>0.18569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819150"/>
          <a:ext cx="35242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3,965 -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0.15926</cdr:x>
      <cdr:y>0.25571</cdr:y>
    </cdr:from>
    <cdr:to>
      <cdr:x>0.57911</cdr:x>
      <cdr:y>0.31659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600200"/>
          <a:ext cx="38671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3,485</a:t>
          </a:r>
          <a:r>
            <a:rPr lang="en-US" sz="1100"/>
            <a:t> - Average Year Buil</a:t>
          </a:r>
          <a:r>
            <a:rPr lang="en-US" sz="1100" baseline="0"/>
            <a:t>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0.15822</cdr:x>
      <cdr:y>0.31811</cdr:y>
    </cdr:from>
    <cdr:to>
      <cdr:x>0.60807</cdr:x>
      <cdr:y>0.38204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1990725"/>
          <a:ext cx="41433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2,817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0.15822</cdr:x>
      <cdr:y>0.38204</cdr:y>
    </cdr:from>
    <cdr:to>
      <cdr:x>0.55636</cdr:x>
      <cdr:y>0.44749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57325" y="2390775"/>
          <a:ext cx="36671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</a:t>
          </a:r>
          <a:r>
            <a:rPr lang="en-US" sz="1100" b="1"/>
            <a:t>SqFt</a:t>
          </a:r>
          <a:r>
            <a:rPr lang="en-US" sz="1100"/>
            <a:t> 2,247 - Average Year</a:t>
          </a:r>
          <a:r>
            <a:rPr lang="en-US" sz="1100" baseline="0"/>
            <a:t> Built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0.15822</cdr:x>
      <cdr:y>0.44292</cdr:y>
    </cdr:from>
    <cdr:to>
      <cdr:x>0.53981</cdr:x>
      <cdr:y>0.50685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57325" y="2771775"/>
          <a:ext cx="35147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2,492</a:t>
          </a:r>
          <a:r>
            <a:rPr lang="en-US" sz="1100" baseline="0"/>
            <a:t> - Average Year Built </a:t>
          </a:r>
          <a:r>
            <a:rPr lang="en-US" sz="1100" b="1" baseline="0"/>
            <a:t>1993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0.15719</cdr:x>
      <cdr:y>0.50381</cdr:y>
    </cdr:from>
    <cdr:to>
      <cdr:x>0.52844</cdr:x>
      <cdr:y>0.57078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47800" y="3152775"/>
          <a:ext cx="34194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</a:t>
          </a:r>
          <a:r>
            <a:rPr lang="en-US" sz="1100" b="1"/>
            <a:t>SqFt</a:t>
          </a:r>
          <a:r>
            <a:rPr lang="en-US" sz="1100"/>
            <a:t> 2,249</a:t>
          </a:r>
          <a:r>
            <a:rPr lang="en-US" sz="1100" baseline="0"/>
            <a:t> - Average Year Built </a:t>
          </a:r>
          <a:r>
            <a:rPr lang="en-US" sz="1100" b="1" baseline="0"/>
            <a:t>1986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0.15926</cdr:x>
      <cdr:y>0.56773</cdr:y>
    </cdr:from>
    <cdr:to>
      <cdr:x>0.59462</cdr:x>
      <cdr:y>0.63166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552825"/>
          <a:ext cx="40100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2,069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0.36298</cdr:x>
      <cdr:y>0.85388</cdr:y>
    </cdr:from>
    <cdr:to>
      <cdr:x>0.46225</cdr:x>
      <cdr:y>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3343275" y="53816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0.15926</cdr:x>
      <cdr:y>0.62861</cdr:y>
    </cdr:from>
    <cdr:to>
      <cdr:x>0.52017</cdr:x>
      <cdr:y>0.69254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933825"/>
          <a:ext cx="33242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1,741</a:t>
          </a:r>
          <a:r>
            <a:rPr lang="en-US" sz="1100"/>
            <a:t> - Average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0.15926</cdr:x>
      <cdr:y>0.69254</cdr:y>
    </cdr:from>
    <cdr:to>
      <cdr:x>0.5274</cdr:x>
      <cdr:y>0.75342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333875"/>
          <a:ext cx="33909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1,573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1979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0.16132</cdr:x>
      <cdr:y>0.75342</cdr:y>
    </cdr:from>
    <cdr:to>
      <cdr:x>0.58428</cdr:x>
      <cdr:y>0.81279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714875"/>
          <a:ext cx="38957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1,697</a:t>
          </a:r>
          <a:r>
            <a:rPr lang="en-US" sz="1100"/>
            <a:t> - Average Year Built </a:t>
          </a:r>
          <a:r>
            <a:rPr lang="en-US" sz="1100" b="1"/>
            <a:t>1979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2018-04-18T16:00:00Z</dcterms:created>
  <dcterms:modified xsi:type="dcterms:W3CDTF">2018-04-18T16:08:00Z</dcterms:modified>
</cp:coreProperties>
</file>